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71" w:rsidRDefault="00067E71" w:rsidP="00067E71">
      <w:pPr>
        <w:pStyle w:val="2TimesNewRoman5020"/>
        <w:spacing w:line="360" w:lineRule="auto"/>
        <w:rPr>
          <w:rFonts w:ascii="宋体" w:eastAsia="宋体" w:hAnsi="宋体"/>
          <w:sz w:val="24"/>
          <w:szCs w:val="24"/>
        </w:rPr>
      </w:pPr>
      <w:bookmarkStart w:id="0" w:name="_Toc105663476"/>
      <w:r>
        <w:rPr>
          <w:rFonts w:ascii="宋体" w:eastAsia="宋体" w:hAnsi="宋体"/>
          <w:sz w:val="24"/>
          <w:szCs w:val="24"/>
        </w:rPr>
        <w:t>一．需求一览表</w:t>
      </w:r>
      <w:bookmarkEnd w:id="0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239"/>
        <w:gridCol w:w="2719"/>
      </w:tblGrid>
      <w:tr w:rsidR="00067E71" w:rsidTr="00047AF0">
        <w:trPr>
          <w:trHeight w:val="506"/>
          <w:jc w:val="center"/>
        </w:trPr>
        <w:tc>
          <w:tcPr>
            <w:tcW w:w="916" w:type="pct"/>
            <w:vAlign w:val="center"/>
          </w:tcPr>
          <w:p w:rsidR="00067E71" w:rsidRDefault="00067E71" w:rsidP="00047AF0">
            <w:pPr>
              <w:spacing w:line="360" w:lineRule="auto"/>
              <w:jc w:val="center"/>
              <w:rPr>
                <w:b/>
                <w:color w:val="000000"/>
              </w:rPr>
            </w:pPr>
            <w:bookmarkStart w:id="1" w:name="_Toc105663477"/>
            <w:r>
              <w:rPr>
                <w:rFonts w:hint="eastAsia"/>
                <w:b/>
                <w:color w:val="000000"/>
              </w:rPr>
              <w:t>包</w:t>
            </w:r>
            <w:r>
              <w:rPr>
                <w:b/>
                <w:color w:val="000000"/>
              </w:rPr>
              <w:t>号</w:t>
            </w:r>
          </w:p>
        </w:tc>
        <w:tc>
          <w:tcPr>
            <w:tcW w:w="2487" w:type="pct"/>
            <w:vAlign w:val="center"/>
          </w:tcPr>
          <w:p w:rsidR="00067E71" w:rsidRDefault="00067E71" w:rsidP="00067E71">
            <w:pPr>
              <w:spacing w:line="360" w:lineRule="auto"/>
              <w:ind w:rightChars="26" w:right="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名称</w:t>
            </w:r>
          </w:p>
        </w:tc>
        <w:tc>
          <w:tcPr>
            <w:tcW w:w="1595" w:type="pct"/>
            <w:vAlign w:val="center"/>
          </w:tcPr>
          <w:p w:rsidR="00067E71" w:rsidRDefault="00067E71" w:rsidP="00047AF0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数量</w:t>
            </w:r>
          </w:p>
        </w:tc>
      </w:tr>
      <w:tr w:rsidR="00067E71" w:rsidTr="00047AF0">
        <w:trPr>
          <w:trHeight w:val="311"/>
          <w:jc w:val="center"/>
        </w:trPr>
        <w:tc>
          <w:tcPr>
            <w:tcW w:w="916" w:type="pct"/>
            <w:vAlign w:val="center"/>
          </w:tcPr>
          <w:p w:rsidR="00067E71" w:rsidRDefault="00067E71" w:rsidP="00047AF0">
            <w:pPr>
              <w:spacing w:line="360" w:lineRule="auto"/>
              <w:jc w:val="center"/>
              <w:rPr>
                <w:color w:val="000000"/>
                <w:lang w:val="zh-TW"/>
              </w:rPr>
            </w:pPr>
            <w:r>
              <w:rPr>
                <w:color w:val="000000"/>
                <w:lang w:val="zh-TW"/>
              </w:rPr>
              <w:t>01</w:t>
            </w:r>
          </w:p>
        </w:tc>
        <w:tc>
          <w:tcPr>
            <w:tcW w:w="2487" w:type="pct"/>
            <w:vAlign w:val="center"/>
          </w:tcPr>
          <w:p w:rsidR="00067E71" w:rsidRDefault="00067E71" w:rsidP="00047AF0">
            <w:pPr>
              <w:jc w:val="center"/>
              <w:textAlignment w:val="center"/>
            </w:pPr>
            <w:r>
              <w:rPr>
                <w:rFonts w:hint="eastAsia"/>
              </w:rPr>
              <w:t>彩色多普勒超声诊断仪</w:t>
            </w:r>
          </w:p>
        </w:tc>
        <w:tc>
          <w:tcPr>
            <w:tcW w:w="1595" w:type="pct"/>
            <w:vAlign w:val="center"/>
          </w:tcPr>
          <w:p w:rsidR="00067E71" w:rsidRDefault="00067E71" w:rsidP="00047AF0">
            <w:pPr>
              <w:jc w:val="center"/>
              <w:textAlignment w:val="center"/>
            </w:pPr>
            <w:r>
              <w:rPr>
                <w:rFonts w:hint="eastAsia"/>
              </w:rPr>
              <w:t>1套</w:t>
            </w:r>
          </w:p>
        </w:tc>
      </w:tr>
    </w:tbl>
    <w:p w:rsidR="00067E71" w:rsidRDefault="00067E71" w:rsidP="00067E71">
      <w:pPr>
        <w:pStyle w:val="2TimesNewRoman5020"/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本项目为单一产品采购项目</w:t>
      </w:r>
      <w:r>
        <w:rPr>
          <w:rFonts w:ascii="宋体" w:eastAsia="宋体" w:hAnsi="宋体" w:hint="eastAsia"/>
          <w:color w:val="000000"/>
          <w:kern w:val="0"/>
          <w:sz w:val="22"/>
          <w:szCs w:val="22"/>
          <w:u w:val="single"/>
        </w:rPr>
        <w:t>。</w:t>
      </w:r>
    </w:p>
    <w:p w:rsidR="00067E71" w:rsidRDefault="00067E71" w:rsidP="00067E71">
      <w:pPr>
        <w:pStyle w:val="2TimesNewRoman5020"/>
        <w:spacing w:line="360" w:lineRule="auto"/>
        <w:rPr>
          <w:rFonts w:ascii="宋体" w:eastAsia="宋体" w:hAnsi="宋体"/>
          <w:sz w:val="24"/>
          <w:szCs w:val="24"/>
        </w:rPr>
      </w:pPr>
      <w:bookmarkStart w:id="2" w:name="_Hlk135210829"/>
      <w:bookmarkEnd w:id="1"/>
      <w:r>
        <w:rPr>
          <w:rFonts w:ascii="宋体" w:eastAsia="宋体" w:hAnsi="宋体"/>
          <w:sz w:val="24"/>
          <w:szCs w:val="24"/>
        </w:rPr>
        <w:t>二．技术规格</w:t>
      </w:r>
    </w:p>
    <w:p w:rsidR="00067E71" w:rsidRDefault="00067E71" w:rsidP="00067E71">
      <w:pPr>
        <w:pStyle w:val="ListParagraph1"/>
        <w:spacing w:line="300" w:lineRule="exact"/>
        <w:ind w:firstLineChars="0" w:firstLine="0"/>
        <w:rPr>
          <w:rFonts w:ascii="宋体" w:hAnsi="宋体"/>
        </w:rPr>
      </w:pPr>
      <w:bookmarkStart w:id="3" w:name="_Toc105663482"/>
      <w:bookmarkEnd w:id="2"/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（一）</w:t>
      </w:r>
      <w:r>
        <w:rPr>
          <w:rFonts w:hint="eastAsia"/>
        </w:rPr>
        <w:tab/>
        <w:t>用途：主要用于腹部、妇产、胎儿心脏、成人心脏、经食道心脏、泌尿、新生儿、小儿、血管（外周、颅脑、腹部）、小器官、骨骼肌肉、神经、术中、造影、介入等方面的临床诊断和科研教学工作，具备持续升级能力，能满足开展新的临床应用需求。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（二） </w:t>
      </w:r>
      <w:r>
        <w:rPr>
          <w:rFonts w:hint="eastAsia"/>
        </w:rPr>
        <w:tab/>
        <w:t>主要技术规格及系统概述：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</w:t>
      </w:r>
      <w:r>
        <w:rPr>
          <w:rFonts w:hint="eastAsia"/>
        </w:rPr>
        <w:tab/>
        <w:t>主机成像系统：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2.1.1 </w:t>
      </w:r>
      <w:r>
        <w:rPr>
          <w:rFonts w:hint="eastAsia"/>
        </w:rPr>
        <w:tab/>
        <w:t xml:space="preserve"> 高分辨率液晶显示器≥23英寸，分辨率≥1920×1080,无闪烁，不间断逐行扫描，可上下左右任意旋转，可前后折叠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*2.1.2 </w:t>
      </w:r>
      <w:r>
        <w:rPr>
          <w:rFonts w:hint="eastAsia"/>
        </w:rPr>
        <w:tab/>
        <w:t>操作面板具备液晶触摸屏≥12英寸,可通过手指滑动触摸屏进行翻页，直接点击触摸屏即可选择需要调节的参数，操作面板可上下左右进行高度调整及旋转，最大旋转角度达720度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2.1.3 </w:t>
      </w:r>
      <w:r>
        <w:rPr>
          <w:rFonts w:hint="eastAsia"/>
        </w:rPr>
        <w:tab/>
        <w:t>全新集束精准发射技术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2.1.4 </w:t>
      </w:r>
      <w:r>
        <w:rPr>
          <w:rFonts w:hint="eastAsia"/>
        </w:rPr>
        <w:tab/>
        <w:t>脉冲优化处理技术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2.1.5 </w:t>
      </w:r>
      <w:r>
        <w:rPr>
          <w:rFonts w:hint="eastAsia"/>
        </w:rPr>
        <w:tab/>
        <w:t>海量并行处理技术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2.1.6 </w:t>
      </w:r>
      <w:r>
        <w:rPr>
          <w:rFonts w:hint="eastAsia"/>
        </w:rPr>
        <w:tab/>
        <w:t>自适应增益补偿技术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2.1.7</w:t>
      </w:r>
      <w:r>
        <w:rPr>
          <w:rFonts w:hint="eastAsia"/>
        </w:rPr>
        <w:tab/>
        <w:t>数字化二维灰阶成像及M型显像单元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2.1.8 </w:t>
      </w:r>
      <w:r>
        <w:rPr>
          <w:rFonts w:hint="eastAsia"/>
        </w:rPr>
        <w:tab/>
        <w:t>解剖M型技术,可360度任意旋转M型取样线角度方便准确的进行测量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2.1.9</w:t>
      </w:r>
      <w:r>
        <w:rPr>
          <w:rFonts w:hint="eastAsia"/>
        </w:rPr>
        <w:tab/>
        <w:t>脉冲反向谐波成像单元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2.1.10</w:t>
      </w:r>
      <w:r>
        <w:rPr>
          <w:rFonts w:hint="eastAsia"/>
        </w:rPr>
        <w:tab/>
        <w:t>彩色多普勒成像技术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2.1.11</w:t>
      </w:r>
      <w:r>
        <w:rPr>
          <w:rFonts w:hint="eastAsia"/>
        </w:rPr>
        <w:tab/>
        <w:t>彩色多普勒能量图技术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2.1.12 </w:t>
      </w:r>
      <w:r>
        <w:rPr>
          <w:rFonts w:hint="eastAsia"/>
        </w:rPr>
        <w:tab/>
        <w:t>方向性能量图技术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2.1.13</w:t>
      </w:r>
      <w:r>
        <w:rPr>
          <w:rFonts w:hint="eastAsia"/>
        </w:rPr>
        <w:tab/>
        <w:t>数字化频谱多普勒显示和分析单元 (包括 PW 、CW和 HPRF)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2.1.14 </w:t>
      </w:r>
      <w:r>
        <w:rPr>
          <w:rFonts w:hint="eastAsia"/>
        </w:rPr>
        <w:tab/>
        <w:t>动态范围≥300dB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lastRenderedPageBreak/>
        <w:t xml:space="preserve">2.1.15 </w:t>
      </w:r>
      <w:r>
        <w:rPr>
          <w:rFonts w:hint="eastAsia"/>
        </w:rPr>
        <w:tab/>
        <w:t>数字化通道≥7,000,000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2.1.16</w:t>
      </w:r>
      <w:r>
        <w:rPr>
          <w:rFonts w:hint="eastAsia"/>
        </w:rPr>
        <w:tab/>
        <w:t>智能全程聚焦技术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2.1.17</w:t>
      </w:r>
      <w:r>
        <w:rPr>
          <w:rFonts w:hint="eastAsia"/>
        </w:rPr>
        <w:tab/>
        <w:t>智能化一键图像优化技术；可自适应调整图像的增益等参数获取最佳图像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2.1.18</w:t>
      </w:r>
      <w:r>
        <w:rPr>
          <w:rFonts w:hint="eastAsia"/>
        </w:rPr>
        <w:tab/>
        <w:t>空间复合成像技术，同时作用于发射和接收（作曲别针试验），支持所有凸阵、微凸阵和线阵成像探头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2.1.19</w:t>
      </w:r>
      <w:r>
        <w:rPr>
          <w:rFonts w:hint="eastAsia"/>
        </w:rPr>
        <w:tab/>
        <w:t>自适应核磁像素优化技术，改善边界显示，提高分辨率，减少伪像，支持所有成像探头，可分级调节≥5级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2.1.20 </w:t>
      </w:r>
      <w:r>
        <w:rPr>
          <w:rFonts w:hint="eastAsia"/>
        </w:rPr>
        <w:tab/>
        <w:t>内置 DICOM 3.0 标准输出接口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2.1.21 </w:t>
      </w:r>
      <w:r>
        <w:rPr>
          <w:rFonts w:hint="eastAsia"/>
        </w:rPr>
        <w:tab/>
        <w:t>内有一体化超声工作站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</w:t>
      </w:r>
      <w:r>
        <w:rPr>
          <w:rFonts w:hint="eastAsia"/>
        </w:rPr>
        <w:tab/>
        <w:t>成像技术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*2.2.1  具备全屏高清放大功能，放大后图像显示区域尺寸≥23”，显示比例≥16：9，分辨率≥1080p（1920x1080）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2.2.2 </w:t>
      </w:r>
      <w:r>
        <w:rPr>
          <w:rFonts w:hint="eastAsia"/>
        </w:rPr>
        <w:tab/>
        <w:t>超宽视野成像扫描技术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1)  </w:t>
      </w:r>
      <w:r>
        <w:rPr>
          <w:rFonts w:hint="eastAsia"/>
        </w:rPr>
        <w:tab/>
        <w:t>测量功能,电影回放功能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2)  </w:t>
      </w:r>
      <w:r>
        <w:rPr>
          <w:rFonts w:hint="eastAsia"/>
        </w:rPr>
        <w:tab/>
        <w:t>线阵、凸阵及容积探头具备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3)  </w:t>
      </w:r>
      <w:r>
        <w:rPr>
          <w:rFonts w:hint="eastAsia"/>
        </w:rPr>
        <w:tab/>
        <w:t>结合先进的成像技术如复合成像技术结合使用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2.2.3 </w:t>
      </w:r>
      <w:r>
        <w:rPr>
          <w:rFonts w:hint="eastAsia"/>
        </w:rPr>
        <w:tab/>
        <w:t>超声声速自动校正技术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1)  </w:t>
      </w:r>
      <w:r>
        <w:rPr>
          <w:rFonts w:hint="eastAsia"/>
        </w:rPr>
        <w:tab/>
        <w:t>针对肥胖及困难病人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2)  </w:t>
      </w:r>
      <w:r>
        <w:rPr>
          <w:rFonts w:hint="eastAsia"/>
        </w:rPr>
        <w:tab/>
        <w:t>可用于乳腺检查，并可调整级别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3)  </w:t>
      </w:r>
      <w:r>
        <w:rPr>
          <w:rFonts w:hint="eastAsia"/>
        </w:rPr>
        <w:tab/>
        <w:t>专门的预置条件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2.2.4 </w:t>
      </w:r>
      <w:r>
        <w:rPr>
          <w:rFonts w:hint="eastAsia"/>
        </w:rPr>
        <w:tab/>
        <w:t>扩展成像技术：凸阵、微凸阵、线阵探头均具有此功能，且空间复合成像技术及斑点噪声抑制技术支持其扩展区域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2.2.5 </w:t>
      </w:r>
      <w:r>
        <w:rPr>
          <w:rFonts w:hint="eastAsia"/>
        </w:rPr>
        <w:tab/>
        <w:t>组织多普勒技术(TDI/或DTI)，具有彩色，谐波，PW， M型多种模式，并有在机应变及应变率定量分析工具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2.2.6 </w:t>
      </w:r>
      <w:r>
        <w:rPr>
          <w:rFonts w:hint="eastAsia"/>
        </w:rPr>
        <w:tab/>
        <w:t>多影像实时对比联合诊断技术：主机可直接获取和浏览CT/NM/MR，乳房X线/超声的DICOM图像，同屏对比既往和目前的超声图像，回顾实时的、存储的、输出的图像进行对比诊断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 w:rsidRPr="004C2963">
        <w:rPr>
          <w:rFonts w:hint="eastAsia"/>
        </w:rPr>
        <w:t>*</w:t>
      </w:r>
      <w:r>
        <w:rPr>
          <w:rFonts w:hint="eastAsia"/>
        </w:rPr>
        <w:t xml:space="preserve">2.2.7 </w:t>
      </w:r>
      <w:r>
        <w:rPr>
          <w:rFonts w:hint="eastAsia"/>
        </w:rPr>
        <w:tab/>
        <w:t>术者模式，可实时双屏显示，主屏幕与触摸屏实时同步显示扫描图像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2.2.8 </w:t>
      </w:r>
      <w:r>
        <w:rPr>
          <w:rFonts w:hint="eastAsia"/>
        </w:rPr>
        <w:tab/>
        <w:t>造影成像技术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lastRenderedPageBreak/>
        <w:t>高帧频造影模式：凸阵造影帧频≥50帧/秒；线阵造影帧频≥90帧/秒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造影剂二次谐波成像单元,包含低MI实时灌注成像、中MI造影成像和高MI造影成像，采用脉冲反相谐波技术、能量调制技术以及多脉冲序列谐波造影技术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可与复合成像技术、核磁像素优化技术结合使用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具有实时双幅造影对比成像模式，并可进行双幅实时同步测量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具有相交互两个平面同屏同时相实时显示造影成像技术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造影技术支持凸阵，线阵，腔内探头，相控阵,矩阵探头，微凸探头，可满足临床对腹部、妇产、浅表、乳腺、血管、心室腔、心肌、腔内的前列腺、经阴道妇科成像等需求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具有造影计时器以及闪烁造影成像技术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实时微血管造影成像技术（以双幅形式同时显示实时造影和造影复合处理模式）可清晰显示组织内微小血管的灌注及走行，可早期评价病变的恶变倾向及放化疗效果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组织抑制技术功能，可以抑制非灌注区域的显像，增强微泡的对比显示，可开关，可分级，可视可调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具备造影定量分析组织运动追踪技术，实时追踪被定量组织，消除因患者呼吸、运动等产生的组织位移，使超声造影定量分析更加准确</w:t>
      </w:r>
    </w:p>
    <w:p w:rsidR="00067E71" w:rsidRDefault="00067E71" w:rsidP="00067E71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>双微造影：造影及微视血流成像两项技术实时对比显示，在造影延迟相显示组织及肿瘤的血供，帮助准确、高效的分辨肿瘤的良恶性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2.2.9 </w:t>
      </w:r>
      <w:r>
        <w:rPr>
          <w:rFonts w:hint="eastAsia"/>
        </w:rPr>
        <w:tab/>
        <w:t>弹性成像技术</w:t>
      </w:r>
    </w:p>
    <w:p w:rsidR="00067E71" w:rsidRDefault="00067E71" w:rsidP="00067E71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</w:pPr>
      <w:r>
        <w:rPr>
          <w:rFonts w:hint="eastAsia"/>
        </w:rPr>
        <w:t>实时软组织弹性成像技术，无需人工加压，具有灰阶，反转及彩色多普勒多种显像方式</w:t>
      </w:r>
    </w:p>
    <w:p w:rsidR="00067E71" w:rsidRDefault="00067E71" w:rsidP="00067E71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</w:pPr>
      <w:r>
        <w:rPr>
          <w:rFonts w:hint="eastAsia"/>
        </w:rPr>
        <w:t>具备囊实性结构鉴别弹性成像技术</w:t>
      </w:r>
    </w:p>
    <w:p w:rsidR="00067E71" w:rsidRDefault="00067E71" w:rsidP="00067E71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</w:pPr>
      <w:r>
        <w:rPr>
          <w:rFonts w:hint="eastAsia"/>
        </w:rPr>
        <w:t>具备浅表及腔内弹性成像</w:t>
      </w:r>
    </w:p>
    <w:p w:rsidR="00067E71" w:rsidRDefault="00067E71" w:rsidP="00067E71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</w:pPr>
      <w:r>
        <w:rPr>
          <w:rFonts w:hint="eastAsia"/>
        </w:rPr>
        <w:t>主机内置一体化实时弹性定量分析技术，可对弹性图像进行直径面积对比分析、动态弹性应变分析、动态弹性参数成像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 w:rsidRPr="004C1577">
        <w:rPr>
          <w:rFonts w:hint="eastAsia"/>
        </w:rPr>
        <w:t>*</w:t>
      </w:r>
      <w:r>
        <w:rPr>
          <w:rFonts w:hint="eastAsia"/>
        </w:rPr>
        <w:t xml:space="preserve">2.2.10 </w:t>
      </w:r>
      <w:r>
        <w:rPr>
          <w:rFonts w:hint="eastAsia"/>
        </w:rPr>
        <w:tab/>
        <w:t>肝脏剪切波定量技术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t>可实现无创评估肝组织弹性的超声成像技术，可以结合常规超声图像检测特定区域组织的弹性硬度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lastRenderedPageBreak/>
        <w:t>具有肝纤维化分级指示器，自动将获得的剪切波数值和肝纤维化分级关联显示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t>测量值可以两种单位显示，KPa及m/s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t>具备单一定量区域具有15组组测量值录入，并可存储导入报告体系，报告可输出打印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t>测量结果需包含：平均硬度及硬度标准差</w:t>
      </w:r>
    </w:p>
    <w:p w:rsidR="00067E71" w:rsidRDefault="00067E71" w:rsidP="00067E71">
      <w:pPr>
        <w:widowControl w:val="0"/>
        <w:numPr>
          <w:ilvl w:val="0"/>
          <w:numId w:val="3"/>
        </w:numPr>
        <w:adjustRightInd w:val="0"/>
        <w:snapToGrid w:val="0"/>
        <w:spacing w:line="360" w:lineRule="auto"/>
      </w:pPr>
      <w:r>
        <w:rPr>
          <w:rFonts w:hint="eastAsia"/>
        </w:rPr>
        <w:t>可在1秒内快速获取剪切波数值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*2.2.11</w:t>
      </w:r>
      <w:r>
        <w:rPr>
          <w:rFonts w:hint="eastAsia"/>
        </w:rPr>
        <w:tab/>
        <w:t>实时剪切波弹性定量技术，可实时对感兴趣区域内组织进行硬度定量评价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支持腹部及浅表探头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具有彩色编码功能，可双幅显示灰阶图与彩色编码图，并具有置信图模式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取样框ROI可调节大小，腹部最大达5x6cm；浅表最大达5x3.6cm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具有多种测量模式，可根据临床需求使用取样框、圆圈、描记、点式等方式进行测量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具有原始数据搜集及处理能力，可任意回放并进行回顾性测量计算</w:t>
      </w:r>
    </w:p>
    <w:p w:rsidR="00067E71" w:rsidRDefault="00067E71" w:rsidP="00067E71">
      <w:pPr>
        <w:widowControl w:val="0"/>
        <w:numPr>
          <w:ilvl w:val="0"/>
          <w:numId w:val="4"/>
        </w:numPr>
        <w:adjustRightInd w:val="0"/>
        <w:snapToGrid w:val="0"/>
        <w:spacing w:line="360" w:lineRule="auto"/>
      </w:pPr>
      <w:r>
        <w:rPr>
          <w:rFonts w:hint="eastAsia"/>
        </w:rPr>
        <w:t>测量值可以两种单位显示，KPa及m/s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2.2.12</w:t>
      </w:r>
      <w:r>
        <w:rPr>
          <w:rFonts w:hint="eastAsia"/>
        </w:rPr>
        <w:tab/>
        <w:t>衰减成像技术</w:t>
      </w:r>
    </w:p>
    <w:p w:rsidR="00067E71" w:rsidRDefault="00067E71" w:rsidP="00067E71">
      <w:pPr>
        <w:widowControl w:val="0"/>
        <w:numPr>
          <w:ilvl w:val="0"/>
          <w:numId w:val="5"/>
        </w:numPr>
        <w:adjustRightInd w:val="0"/>
        <w:snapToGrid w:val="0"/>
        <w:spacing w:line="360" w:lineRule="auto"/>
      </w:pPr>
      <w:r>
        <w:rPr>
          <w:rFonts w:hint="eastAsia"/>
        </w:rPr>
        <w:t>具备组织衰减成像技术，可对肝脏弥漫性病变完成无创定量分析；可进行冻结图像及存储动态图像进行衰减分析</w:t>
      </w:r>
    </w:p>
    <w:p w:rsidR="00067E71" w:rsidRDefault="00067E71" w:rsidP="00067E71">
      <w:pPr>
        <w:widowControl w:val="0"/>
        <w:numPr>
          <w:ilvl w:val="0"/>
          <w:numId w:val="5"/>
        </w:numPr>
        <w:adjustRightInd w:val="0"/>
        <w:snapToGrid w:val="0"/>
        <w:spacing w:line="360" w:lineRule="auto"/>
      </w:pPr>
      <w:r>
        <w:rPr>
          <w:rFonts w:hint="eastAsia"/>
        </w:rPr>
        <w:t>肝肾比分析技术：基于二维图像计算肾皮质和肝脏的灰阶比值进行肝脂肪变性评估，实现快速简便的肝脂肪变性评估，提供准确的定量分析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*2.2.13</w:t>
      </w:r>
      <w:r>
        <w:rPr>
          <w:rFonts w:hint="eastAsia"/>
        </w:rPr>
        <w:tab/>
        <w:t>具有高清微视血流成像技术，可高清显示超微细血流及超低速血流信号，支持凸阵、线阵探头、微凸阵探头，可用于腹部、浅表、肌骨、儿科、血管等多种应用，具有单独模式、增强模式及2D对比模式，具有8种map图可选，并可进行血流速度测量，已存储的图像亦可使用增强模式进行观察。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2.2.14</w:t>
      </w:r>
      <w:r>
        <w:rPr>
          <w:rFonts w:hint="eastAsia"/>
        </w:rPr>
        <w:tab/>
        <w:t>血管中内膜自动测量与分析：对感兴趣区域内自动测量，无需手动描计；计算结果为一段距离内的平均值，提高测量的可靠性和可重复性，并可根据血管内中膜厚度不同进行优化设置；脱机数据可输出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lastRenderedPageBreak/>
        <w:t>2.2.15</w:t>
      </w:r>
      <w:r>
        <w:rPr>
          <w:rFonts w:hint="eastAsia"/>
        </w:rPr>
        <w:tab/>
        <w:t>智能多普勒血管检查技术：单键优化二维、多普勒图像质量；单键自动调整取样框角度、位置、取样门位置、角度等；具备血流自动追踪技术，可跟随探头的移动实时追踪血管位置，自动调整彩色图像（包括取样框角度、位置等），自动优化频谱测量以保证测量值的准确性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2.2.16</w:t>
      </w:r>
      <w:r>
        <w:rPr>
          <w:rFonts w:hint="eastAsia"/>
        </w:rPr>
        <w:tab/>
        <w:t>脑卒中疾病诊断相关技术：可自动记录颈总动脉和颈内动脉的近端、中端、远端的血流速度测量结果；自动得到颈总动脉和颈内动脉血流速度峰值；计算出颈内动脉和颈总动脉的血流速度峰值速度比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2.2.17   可使用回放或存储剪辑分析，可在机和脱机分析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2.2.18</w:t>
      </w:r>
      <w:r>
        <w:rPr>
          <w:rFonts w:hint="eastAsia"/>
        </w:rPr>
        <w:tab/>
        <w:t>负荷超声成像(内置一体化)：具备二维负荷超声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2.3</w:t>
      </w:r>
      <w:r>
        <w:rPr>
          <w:rFonts w:hint="eastAsia"/>
        </w:rPr>
        <w:tab/>
        <w:t xml:space="preserve"> 测量和分析： ( B 型、M 型、D 型、彩色模式)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2.3.1 </w:t>
      </w:r>
      <w:r>
        <w:rPr>
          <w:rFonts w:hint="eastAsia"/>
        </w:rPr>
        <w:tab/>
        <w:t>一般测量：距离、面积、周长等；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2.3.2</w:t>
      </w:r>
      <w:r>
        <w:rPr>
          <w:rFonts w:hint="eastAsia"/>
        </w:rPr>
        <w:tab/>
        <w:t>产科测量：包括全面的产科径线测量、NT测量、单/双胎儿孕龄及生长曲线、羊水指数、新生儿髋关节角度等；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2.3.3</w:t>
      </w:r>
      <w:r>
        <w:rPr>
          <w:rFonts w:hint="eastAsia"/>
        </w:rPr>
        <w:tab/>
        <w:t>外周血管测量和计算功能；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2.3.4</w:t>
      </w:r>
      <w:r>
        <w:rPr>
          <w:rFonts w:hint="eastAsia"/>
        </w:rPr>
        <w:tab/>
        <w:t xml:space="preserve">多普勒血流测量与分析 (含自动多普勒频谱包络计算); 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2.3.5</w:t>
      </w:r>
      <w:r>
        <w:rPr>
          <w:rFonts w:hint="eastAsia"/>
        </w:rPr>
        <w:tab/>
        <w:t>心脏功能测量；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</w:t>
      </w:r>
      <w:r>
        <w:rPr>
          <w:rFonts w:hint="eastAsia"/>
        </w:rPr>
        <w:tab/>
        <w:t>图像存储 (电影) 回放重显及病案管理单元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2.4.1</w:t>
      </w:r>
      <w:r>
        <w:rPr>
          <w:rFonts w:hint="eastAsia"/>
        </w:rPr>
        <w:tab/>
        <w:t xml:space="preserve"> 数字化捕捉、回放、存储静、动态图像，实时图像传输，实时 JPEG 解压缩，可进行参数编程调节；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2.4.2</w:t>
      </w:r>
      <w:r>
        <w:rPr>
          <w:rFonts w:hint="eastAsia"/>
        </w:rPr>
        <w:tab/>
        <w:t>硬盘≥1T（1024G），DVD／USB图像存储,电影回放重现单元2200帧；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2.4.3</w:t>
      </w:r>
      <w:r>
        <w:rPr>
          <w:rFonts w:hint="eastAsia"/>
        </w:rPr>
        <w:tab/>
        <w:t>具备主机硬盘图像数据存储；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2.4.4</w:t>
      </w:r>
      <w:r>
        <w:rPr>
          <w:rFonts w:hint="eastAsia"/>
        </w:rPr>
        <w:tab/>
        <w:t>病案管理单元包括病人资料、报告、图像等的存储、修改、检索和打印等；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2.4.5</w:t>
      </w:r>
      <w:r>
        <w:rPr>
          <w:rFonts w:hint="eastAsia"/>
        </w:rPr>
        <w:tab/>
        <w:t>可根据检查要求对工作站参数（存储、压缩、回放）进行编程调节；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2.5</w:t>
      </w:r>
      <w:r>
        <w:rPr>
          <w:rFonts w:hint="eastAsia"/>
        </w:rPr>
        <w:tab/>
        <w:t>输入/输出信号：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2.5.1</w:t>
      </w:r>
      <w:r>
        <w:rPr>
          <w:rFonts w:hint="eastAsia"/>
        </w:rPr>
        <w:tab/>
        <w:t xml:space="preserve"> 输入：DICOM DATA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2.5.2</w:t>
      </w:r>
      <w:r>
        <w:rPr>
          <w:rFonts w:hint="eastAsia"/>
        </w:rPr>
        <w:tab/>
        <w:t>输出：S-视频、DP高清数字化输出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2.6</w:t>
      </w:r>
      <w:r>
        <w:rPr>
          <w:rFonts w:hint="eastAsia"/>
        </w:rPr>
        <w:tab/>
        <w:t>连通性：医学数字图像和通信 DICOM 3.0 版接口部件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（三）</w:t>
      </w:r>
      <w:r>
        <w:rPr>
          <w:rFonts w:hint="eastAsia"/>
        </w:rPr>
        <w:tab/>
        <w:t>系统技术参数及要求：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3.1</w:t>
      </w:r>
      <w:r>
        <w:rPr>
          <w:rFonts w:hint="eastAsia"/>
        </w:rPr>
        <w:tab/>
        <w:t>系统通用功能：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lastRenderedPageBreak/>
        <w:t>*3.1.1</w:t>
      </w:r>
      <w:r>
        <w:rPr>
          <w:rFonts w:hint="eastAsia"/>
        </w:rPr>
        <w:tab/>
        <w:t>探头接口选择：≥ 4个，微型非针式，并激活可互换通用，接口需具备照明系统方便在暗室环境更换探头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3.1.2</w:t>
      </w:r>
      <w:r>
        <w:rPr>
          <w:rFonts w:hint="eastAsia"/>
        </w:rPr>
        <w:tab/>
        <w:t>预设条件: 针对不同的检查脏器,预置最佳化图像的检查条件,减少操作时的调节,及常用所需的外部调节及组合调节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3.2</w:t>
      </w:r>
      <w:r>
        <w:rPr>
          <w:rFonts w:hint="eastAsia"/>
        </w:rPr>
        <w:tab/>
        <w:t>探头规格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3.2.1 </w:t>
      </w:r>
      <w:r>
        <w:rPr>
          <w:rFonts w:hint="eastAsia"/>
        </w:rPr>
        <w:tab/>
        <w:t>频率：超宽频带探头，最高频率≥22MHz, 从1 MHz 到22 MHz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3.2.2</w:t>
      </w:r>
      <w:r>
        <w:rPr>
          <w:rFonts w:hint="eastAsia"/>
        </w:rPr>
        <w:tab/>
        <w:t>二维、彩色多普勒均可独立变频；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3.2.3</w:t>
      </w:r>
      <w:r>
        <w:rPr>
          <w:rFonts w:hint="eastAsia"/>
        </w:rPr>
        <w:tab/>
        <w:t>类型：电子扇扫、线阵、凸阵 、电子矩阵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*3.2.4</w:t>
      </w:r>
      <w:r>
        <w:rPr>
          <w:rFonts w:hint="eastAsia"/>
        </w:rPr>
        <w:tab/>
        <w:t>单晶体探头≥10把，具有腹部、浅表、心脏、腔内、单晶体探头支持：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  <w:rPr>
          <w:rFonts w:eastAsiaTheme="minorEastAsia"/>
        </w:rPr>
      </w:pPr>
      <w:r>
        <w:rPr>
          <w:rFonts w:hint="eastAsia"/>
        </w:rPr>
        <w:t>*3.2.6</w:t>
      </w:r>
      <w:r>
        <w:rPr>
          <w:rFonts w:hint="eastAsia"/>
        </w:rPr>
        <w:tab/>
        <w:t xml:space="preserve">探头规格： 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firstLineChars="400" w:firstLine="960"/>
        <w:rPr>
          <w:rFonts w:eastAsiaTheme="minorEastAsia"/>
        </w:rPr>
      </w:pPr>
      <w:r>
        <w:rPr>
          <w:rFonts w:hint="eastAsia"/>
        </w:rPr>
        <w:t>单晶体腹部凸阵探头（1.0-5.0MHz）       1把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firstLineChars="400" w:firstLine="960"/>
        <w:rPr>
          <w:rFonts w:eastAsiaTheme="minorEastAsia"/>
        </w:rPr>
      </w:pPr>
      <w:r>
        <w:rPr>
          <w:rFonts w:hint="eastAsia"/>
        </w:rPr>
        <w:t>单晶体血管小微凸探头（3.0-12.0MHz）    1把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firstLineChars="400" w:firstLine="960"/>
        <w:rPr>
          <w:rFonts w:eastAsiaTheme="minorEastAsia"/>
        </w:rPr>
      </w:pPr>
      <w:r>
        <w:rPr>
          <w:rFonts w:hint="eastAsia"/>
        </w:rPr>
        <w:t>血管线阵探头（3.0-12.0MHz）            1把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firstLineChars="400" w:firstLine="960"/>
        <w:rPr>
          <w:rFonts w:eastAsiaTheme="minorEastAsia"/>
        </w:rPr>
      </w:pPr>
      <w:r>
        <w:rPr>
          <w:rFonts w:hint="eastAsia"/>
        </w:rPr>
        <w:t>单晶体小器官高频线阵探头（2.0-22.0MHz）1把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firstLineChars="400" w:firstLine="960"/>
        <w:rPr>
          <w:rFonts w:eastAsiaTheme="minorEastAsia"/>
        </w:rPr>
      </w:pPr>
      <w:r>
        <w:rPr>
          <w:rFonts w:hint="eastAsia"/>
        </w:rPr>
        <w:t>腔内双功凸阵探头（4.0-10.0MHz）        1把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3.2.7 </w:t>
      </w:r>
      <w:r>
        <w:rPr>
          <w:rFonts w:hint="eastAsia"/>
        </w:rPr>
        <w:tab/>
        <w:t>扫描深度≥38cm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3.2.8</w:t>
      </w:r>
      <w:r>
        <w:rPr>
          <w:rFonts w:hint="eastAsia"/>
        </w:rPr>
        <w:tab/>
        <w:t>B/D 兼用：电子线阵：B/PWD、电子凸阵：B/PWD、电子微凸阵：B/PWD、电子矩阵：B/PWD、  电子相控阵：B/PWD、 B/CWD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3.2.9</w:t>
      </w:r>
      <w:r>
        <w:rPr>
          <w:rFonts w:hint="eastAsia"/>
        </w:rPr>
        <w:tab/>
        <w:t>穿刺导向：探头可配穿刺导向装置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3.2.10 </w:t>
      </w:r>
      <w:r>
        <w:rPr>
          <w:rFonts w:hint="eastAsia"/>
        </w:rPr>
        <w:tab/>
        <w:t>穿刺架可选用 Verza 和ultra pro 两种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</w:t>
      </w:r>
      <w:r>
        <w:rPr>
          <w:rFonts w:hint="eastAsia"/>
        </w:rPr>
        <w:tab/>
        <w:t>二维显像主要参数：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3.3.1</w:t>
      </w:r>
      <w:r>
        <w:rPr>
          <w:rFonts w:hint="eastAsia"/>
        </w:rPr>
        <w:tab/>
        <w:t>成像速度：相控阵探头，85°角,18CM深度时,帧速度≥58帧/秒；凸阵探头, 85°角,18CM深度时,帧速度≥45帧/秒；扫描线：每帧线密度≥320超声线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3.3.2</w:t>
      </w:r>
      <w:r>
        <w:rPr>
          <w:rFonts w:hint="eastAsia"/>
        </w:rPr>
        <w:tab/>
        <w:t>增益调节：TGC增益补偿≥8 段，LGC侧向增益补偿≥4 段，B/M 可独立调节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3.3.3</w:t>
      </w:r>
      <w:r>
        <w:rPr>
          <w:rFonts w:hint="eastAsia"/>
        </w:rPr>
        <w:tab/>
        <w:t>高分辨率放大：放大时增加信息量，提高分辨率及帧率；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3.3.4</w:t>
      </w:r>
      <w:r>
        <w:rPr>
          <w:rFonts w:hint="eastAsia"/>
        </w:rPr>
        <w:tab/>
        <w:t>声束聚焦：发射及接收全程连续聚焦;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3.3.5</w:t>
      </w:r>
      <w:r>
        <w:rPr>
          <w:rFonts w:hint="eastAsia"/>
        </w:rPr>
        <w:tab/>
        <w:t>接收方式：独立接收和发射通道数, 多倍信号并行处理；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3.3.6</w:t>
      </w:r>
      <w:r>
        <w:rPr>
          <w:rFonts w:hint="eastAsia"/>
        </w:rPr>
        <w:tab/>
        <w:t>接收超声信号系统动态范围≥300 dB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lastRenderedPageBreak/>
        <w:t>3.4</w:t>
      </w:r>
      <w:r>
        <w:rPr>
          <w:rFonts w:hint="eastAsia"/>
        </w:rPr>
        <w:tab/>
        <w:t>频谱多普勒：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3.4.1 </w:t>
      </w:r>
      <w:r>
        <w:rPr>
          <w:rFonts w:hint="eastAsia"/>
        </w:rPr>
        <w:tab/>
        <w:t>显示模式：脉冲多普勒 (PWD)、 高脉冲重复频率 (HPRF)、连续波多普勒（CW）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3.4.2</w:t>
      </w:r>
      <w:r>
        <w:rPr>
          <w:rFonts w:hint="eastAsia"/>
        </w:rPr>
        <w:tab/>
        <w:t>发射频率：电子相控阵: PWD,CWD1.6-1.8MHz、电子凸阵:PWD:2.0-2.2MHz、电子线阵:PWD:5.75-7.0MHz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3.4.3</w:t>
      </w:r>
      <w:r>
        <w:rPr>
          <w:rFonts w:hint="eastAsia"/>
        </w:rPr>
        <w:tab/>
        <w:t>显示方式：B/D、M/D、D、B/CDV、B/CPA、B/CDV/PW；B/CPA/PW；B/CDV/CW；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3.4.4</w:t>
      </w:r>
      <w:r>
        <w:rPr>
          <w:rFonts w:hint="eastAsia"/>
        </w:rPr>
        <w:tab/>
        <w:t>最大测量速度：PWD正或反向血流速度：≥ 10.0 m/s（0度夹角）；CWD:血流速度³28.0m/s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*3.4.5</w:t>
      </w:r>
      <w:r>
        <w:rPr>
          <w:rFonts w:hint="eastAsia"/>
        </w:rPr>
        <w:tab/>
        <w:t>最低测量速度：≤ 0.25mm/s (非噪音信号)；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3.4.6</w:t>
      </w:r>
      <w:r>
        <w:rPr>
          <w:rFonts w:hint="eastAsia"/>
        </w:rPr>
        <w:tab/>
        <w:t>Doppler及M型电影回放：³48 秒；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3.4.7</w:t>
      </w:r>
      <w:r>
        <w:rPr>
          <w:rFonts w:hint="eastAsia"/>
        </w:rPr>
        <w:tab/>
        <w:t>滤波器：高通滤波或低通滤波两种，分级选择；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*3.4.8</w:t>
      </w:r>
      <w:r>
        <w:rPr>
          <w:rFonts w:hint="eastAsia"/>
        </w:rPr>
        <w:tab/>
        <w:t>取样宽度及位置范围：宽度 0.5mm至20mm多级可调；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3.4.9</w:t>
      </w:r>
      <w:r>
        <w:rPr>
          <w:rFonts w:hint="eastAsia"/>
        </w:rPr>
        <w:tab/>
        <w:t>零位移动：³ 9 级；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3.4.10</w:t>
      </w:r>
      <w:r>
        <w:rPr>
          <w:rFonts w:hint="eastAsia"/>
        </w:rPr>
        <w:tab/>
        <w:t>显示控制：反转显示 (上/下)、零移位、B-刷新、D 扩展、B/D 扩展，局放及移位；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3.4.11</w:t>
      </w:r>
      <w:r>
        <w:rPr>
          <w:rFonts w:hint="eastAsia"/>
        </w:rPr>
        <w:tab/>
        <w:t>实时自动包络频谱并完成频谱测量计算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</w:t>
      </w:r>
      <w:r>
        <w:rPr>
          <w:rFonts w:hint="eastAsia"/>
        </w:rPr>
        <w:tab/>
        <w:t>彩色多普勒：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3.5.1 </w:t>
      </w:r>
      <w:r>
        <w:rPr>
          <w:rFonts w:hint="eastAsia"/>
        </w:rPr>
        <w:tab/>
        <w:t>显示方式：速度图 (CDV)、能量图 (CPA)、方向性能量图（DCPA）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3.5.2</w:t>
      </w:r>
      <w:r>
        <w:rPr>
          <w:rFonts w:hint="eastAsia"/>
        </w:rPr>
        <w:tab/>
        <w:t>彩色增强功能:彩色多普勒能量图(CDE/CPI);组织多普勒(TDI)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3.5.3</w:t>
      </w:r>
      <w:r>
        <w:rPr>
          <w:rFonts w:hint="eastAsia"/>
        </w:rPr>
        <w:tab/>
        <w:t>具有双同步 / 三同步显示(B/D/CDV)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3.5.4</w:t>
      </w:r>
      <w:r>
        <w:rPr>
          <w:rFonts w:hint="eastAsia"/>
        </w:rPr>
        <w:tab/>
        <w:t>彩色显示速度：最低平均血流显示速度≤5mm/s（非噪声信号）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3.5.5</w:t>
      </w:r>
      <w:r>
        <w:rPr>
          <w:rFonts w:hint="eastAsia"/>
        </w:rPr>
        <w:tab/>
        <w:t>显示控制：零位移动、黑白与彩色比较、彩色对比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3.5.6</w:t>
      </w:r>
      <w:r>
        <w:rPr>
          <w:rFonts w:hint="eastAsia"/>
        </w:rPr>
        <w:tab/>
        <w:t>显示位置调整：线阵扫描感兴趣的图像范围：-20°～ +20°；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3.6</w:t>
      </w:r>
      <w:r>
        <w:rPr>
          <w:rFonts w:hint="eastAsia"/>
        </w:rPr>
        <w:tab/>
        <w:t>超声功率输出调节：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3.6.1 </w:t>
      </w:r>
      <w:r>
        <w:rPr>
          <w:rFonts w:hint="eastAsia"/>
        </w:rPr>
        <w:tab/>
        <w:t>B/M、PWD、COLOR DOPPLER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3.6.2</w:t>
      </w:r>
      <w:r>
        <w:rPr>
          <w:rFonts w:hint="eastAsia"/>
        </w:rPr>
        <w:tab/>
        <w:t>输出功率选择分级可调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3.7</w:t>
      </w:r>
      <w:r>
        <w:rPr>
          <w:rFonts w:hint="eastAsia"/>
        </w:rPr>
        <w:tab/>
        <w:t>记录装置：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 xml:space="preserve">3.7.1 </w:t>
      </w:r>
      <w:r>
        <w:rPr>
          <w:rFonts w:hint="eastAsia"/>
        </w:rPr>
        <w:tab/>
        <w:t>内置一体化超声工作站：数字化储存静态及动态图像，动态图像及静态图像以AVI、BMP或JPEG等PC通用格式直接储存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3.7.2</w:t>
      </w:r>
      <w:r>
        <w:rPr>
          <w:rFonts w:hint="eastAsia"/>
        </w:rPr>
        <w:tab/>
        <w:t>主机硬盘容量≥1T（1024GB）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lastRenderedPageBreak/>
        <w:t>3.7.3</w:t>
      </w:r>
      <w:r>
        <w:rPr>
          <w:rFonts w:hint="eastAsia"/>
        </w:rPr>
        <w:tab/>
        <w:t>DVD-RW 或USB图像存储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3.7.4</w:t>
      </w:r>
      <w:r>
        <w:rPr>
          <w:rFonts w:hint="eastAsia"/>
        </w:rPr>
        <w:tab/>
        <w:t>USB接口≥5个，用于图像传输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3.8</w:t>
      </w:r>
      <w:r>
        <w:rPr>
          <w:rFonts w:hint="eastAsia"/>
        </w:rPr>
        <w:tab/>
        <w:t>技术手册：中文操作手册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3.9     超声工作站专用数据终端</w:t>
      </w:r>
    </w:p>
    <w:p w:rsidR="00067E71" w:rsidRDefault="00067E71" w:rsidP="00067E71">
      <w:pPr>
        <w:widowControl w:val="0"/>
        <w:adjustRightInd w:val="0"/>
        <w:snapToGrid w:val="0"/>
        <w:spacing w:line="360" w:lineRule="auto"/>
        <w:ind w:left="960" w:hangingChars="400" w:hanging="960"/>
      </w:pPr>
      <w:r>
        <w:rPr>
          <w:rFonts w:hint="eastAsia"/>
        </w:rPr>
        <w:t>3.10    超声专用椅</w:t>
      </w:r>
    </w:p>
    <w:p w:rsidR="00067E71" w:rsidRDefault="00067E71" w:rsidP="00067E71">
      <w:pPr>
        <w:pStyle w:val="2"/>
        <w:tabs>
          <w:tab w:val="left" w:pos="5580"/>
        </w:tabs>
        <w:spacing w:line="360" w:lineRule="auto"/>
        <w:ind w:leftChars="0" w:left="0" w:firstLineChars="0" w:firstLine="0"/>
        <w:rPr>
          <w:bCs/>
          <w:sz w:val="24"/>
          <w:szCs w:val="22"/>
        </w:rPr>
      </w:pPr>
      <w:r>
        <w:rPr>
          <w:rFonts w:hint="eastAsia"/>
          <w:bCs/>
          <w:sz w:val="24"/>
          <w:szCs w:val="22"/>
        </w:rPr>
        <w:t>★</w:t>
      </w:r>
      <w:r>
        <w:rPr>
          <w:rFonts w:hint="eastAsia"/>
          <w:b/>
          <w:bCs/>
          <w:sz w:val="24"/>
        </w:rPr>
        <w:t>要求提供所投设备机型有效的“医疗器械注册证”。</w:t>
      </w:r>
    </w:p>
    <w:p w:rsidR="00067E71" w:rsidRDefault="00067E71" w:rsidP="00067E71">
      <w:pPr>
        <w:pStyle w:val="2TimesNewRoman502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三.商务要求</w:t>
      </w:r>
      <w:bookmarkEnd w:id="3"/>
    </w:p>
    <w:p w:rsidR="00067E71" w:rsidRDefault="00067E71" w:rsidP="00067E71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4" w:name="_Toc105663483"/>
      <w:r>
        <w:rPr>
          <w:rFonts w:ascii="Times New Roman" w:hint="eastAsia"/>
          <w:color w:val="000000"/>
        </w:rPr>
        <w:t>1</w:t>
      </w:r>
      <w:r>
        <w:rPr>
          <w:rFonts w:ascii="Times New Roman"/>
          <w:color w:val="000000"/>
        </w:rPr>
        <w:t>.</w:t>
      </w:r>
      <w:r>
        <w:rPr>
          <w:rFonts w:ascii="Times New Roman" w:hint="eastAsia"/>
          <w:color w:val="000000"/>
        </w:rPr>
        <w:t xml:space="preserve"> </w:t>
      </w:r>
      <w:r>
        <w:rPr>
          <w:rFonts w:ascii="Times New Roman" w:hint="eastAsia"/>
          <w:color w:val="000000"/>
        </w:rPr>
        <w:t>交付</w:t>
      </w:r>
      <w:bookmarkEnd w:id="4"/>
      <w:r>
        <w:rPr>
          <w:rFonts w:ascii="Times New Roman" w:hint="eastAsia"/>
          <w:color w:val="000000"/>
        </w:rPr>
        <w:t>及配套实施要求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（1）交付时间：合同签订后30天交货；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（2）</w:t>
      </w:r>
      <w:r>
        <w:rPr>
          <w:bCs/>
        </w:rPr>
        <w:t>交货地点：</w:t>
      </w:r>
      <w:r>
        <w:rPr>
          <w:rFonts w:hint="eastAsia"/>
          <w:bCs/>
        </w:rPr>
        <w:t>北京大学人民医院</w:t>
      </w:r>
      <w:r>
        <w:rPr>
          <w:bCs/>
        </w:rPr>
        <w:t>用户指定地点</w:t>
      </w:r>
      <w:r>
        <w:rPr>
          <w:rFonts w:hint="eastAsia"/>
          <w:bCs/>
        </w:rPr>
        <w:t>。</w:t>
      </w:r>
    </w:p>
    <w:p w:rsidR="00067E71" w:rsidRDefault="00067E71" w:rsidP="00067E71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5" w:name="_Toc105663484"/>
      <w:r>
        <w:rPr>
          <w:rFonts w:ascii="Times New Roman"/>
          <w:color w:val="000000"/>
        </w:rPr>
        <w:t>2.</w:t>
      </w:r>
      <w:r>
        <w:rPr>
          <w:rFonts w:ascii="Times New Roman" w:hint="eastAsia"/>
          <w:color w:val="000000"/>
        </w:rPr>
        <w:t>售后服务及培训</w:t>
      </w:r>
      <w:bookmarkEnd w:id="5"/>
    </w:p>
    <w:p w:rsidR="00067E71" w:rsidRDefault="00067E71" w:rsidP="00067E71">
      <w:pPr>
        <w:spacing w:line="360" w:lineRule="auto"/>
        <w:ind w:rightChars="46" w:right="110"/>
        <w:rPr>
          <w:b/>
        </w:rPr>
      </w:pPr>
      <w:r>
        <w:rPr>
          <w:rFonts w:hint="eastAsia"/>
          <w:bCs/>
        </w:rPr>
        <w:t>（1）</w:t>
      </w:r>
      <w:r>
        <w:rPr>
          <w:bCs/>
        </w:rPr>
        <w:t>设备到货后，卖方派有经验的专家来医院进行安装、调试及试运行，正常运行后卖方工程技术人员应出具合格数据，供买方验收，备案</w:t>
      </w:r>
      <w:r>
        <w:rPr>
          <w:rFonts w:hint="eastAsia"/>
          <w:bCs/>
        </w:rPr>
        <w:t>。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（2）</w:t>
      </w:r>
      <w:r>
        <w:rPr>
          <w:bCs/>
        </w:rPr>
        <w:t>产品自安装调试验收之日起，</w:t>
      </w:r>
      <w:r>
        <w:rPr>
          <w:rFonts w:hint="eastAsia"/>
          <w:bCs/>
        </w:rPr>
        <w:t>要求</w:t>
      </w:r>
      <w:r>
        <w:rPr>
          <w:bCs/>
        </w:rPr>
        <w:t>原厂质保</w:t>
      </w:r>
      <w:r>
        <w:rPr>
          <w:rFonts w:hint="eastAsia"/>
          <w:bCs/>
        </w:rPr>
        <w:t>如下：</w:t>
      </w:r>
      <w:r>
        <w:rPr>
          <w:rFonts w:hint="eastAsia"/>
          <w:b/>
        </w:rPr>
        <w:t>设备整机不低于6年，</w:t>
      </w:r>
      <w:r>
        <w:rPr>
          <w:bCs/>
        </w:rPr>
        <w:t>厂家需负责终身维护</w:t>
      </w:r>
      <w:r>
        <w:rPr>
          <w:rFonts w:hint="eastAsia"/>
          <w:bCs/>
        </w:rPr>
        <w:t>。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（3）</w:t>
      </w:r>
      <w:r>
        <w:rPr>
          <w:bCs/>
        </w:rPr>
        <w:t>提供技术人员到院培训，并负责对买方技术人员、操作人员进行免费技术培训。内容包括设备操作、维护、及简单的维修，直至技术人员、操作人员能熟练掌握为止。并提供相关操作、维护手册</w:t>
      </w:r>
      <w:r>
        <w:rPr>
          <w:rFonts w:hint="eastAsia"/>
          <w:bCs/>
        </w:rPr>
        <w:t>。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（4）</w:t>
      </w:r>
      <w:r>
        <w:rPr>
          <w:bCs/>
        </w:rPr>
        <w:t>开机率≥95%，</w:t>
      </w:r>
      <w:r>
        <w:rPr>
          <w:rFonts w:hAnsi="Calibri" w:hint="eastAsia"/>
        </w:rPr>
        <w:t>厂家提供</w:t>
      </w:r>
      <w:r>
        <w:rPr>
          <w:rFonts w:ascii="Calibri" w:hAnsi="Calibri" w:cs="Calibri"/>
        </w:rPr>
        <w:t>24</w:t>
      </w:r>
      <w:r>
        <w:rPr>
          <w:rFonts w:hAnsi="Calibri" w:hint="eastAsia"/>
        </w:rPr>
        <w:t>小时免费售后服务电话。</w:t>
      </w:r>
      <w:r>
        <w:rPr>
          <w:bCs/>
        </w:rPr>
        <w:t>设备发生故障，保修反应时间在1小时内，工程师12小时</w:t>
      </w:r>
      <w:r>
        <w:rPr>
          <w:rFonts w:hint="eastAsia"/>
          <w:bCs/>
        </w:rPr>
        <w:t>内</w:t>
      </w:r>
      <w:r>
        <w:rPr>
          <w:bCs/>
        </w:rPr>
        <w:t>到达现场，24小时</w:t>
      </w:r>
      <w:r>
        <w:rPr>
          <w:rFonts w:hint="eastAsia"/>
          <w:bCs/>
        </w:rPr>
        <w:t>内</w:t>
      </w:r>
      <w:r>
        <w:rPr>
          <w:bCs/>
        </w:rPr>
        <w:t>解决问题，否则提供</w:t>
      </w:r>
      <w:r>
        <w:rPr>
          <w:rFonts w:hint="eastAsia"/>
          <w:bCs/>
        </w:rPr>
        <w:t>不低于同档次的</w:t>
      </w:r>
      <w:r>
        <w:rPr>
          <w:bCs/>
        </w:rPr>
        <w:t>周转用设备，不耽误院方的正常工作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（5）免费质保期后零配件及易损件应以低于市场价的价格保障优惠供货。</w:t>
      </w:r>
    </w:p>
    <w:p w:rsidR="00067E71" w:rsidRDefault="00067E71" w:rsidP="00067E71">
      <w:pPr>
        <w:spacing w:line="360" w:lineRule="auto"/>
        <w:ind w:rightChars="46" w:right="110"/>
        <w:rPr>
          <w:bCs/>
        </w:rPr>
      </w:pPr>
      <w:r>
        <w:rPr>
          <w:rFonts w:hint="eastAsia"/>
          <w:bCs/>
        </w:rPr>
        <w:t>（6）</w:t>
      </w:r>
      <w:r>
        <w:rPr>
          <w:bCs/>
        </w:rPr>
        <w:t>设备升级时，卖方免费为买方提供升级。</w:t>
      </w:r>
    </w:p>
    <w:p w:rsidR="00067E71" w:rsidRDefault="00067E71" w:rsidP="00067E71">
      <w:pPr>
        <w:pStyle w:val="3"/>
        <w:tabs>
          <w:tab w:val="left" w:pos="720"/>
        </w:tabs>
        <w:ind w:left="1" w:hanging="1"/>
        <w:jc w:val="left"/>
        <w:rPr>
          <w:rFonts w:ascii="Times New Roman"/>
          <w:color w:val="000000"/>
        </w:rPr>
      </w:pPr>
      <w:bookmarkStart w:id="6" w:name="_Toc105663485"/>
      <w:r>
        <w:rPr>
          <w:rFonts w:ascii="Times New Roman"/>
          <w:color w:val="000000"/>
        </w:rPr>
        <w:t xml:space="preserve">3. </w:t>
      </w:r>
      <w:r>
        <w:rPr>
          <w:rFonts w:ascii="Times New Roman"/>
          <w:color w:val="000000"/>
        </w:rPr>
        <w:t>验收</w:t>
      </w:r>
      <w:bookmarkEnd w:id="6"/>
    </w:p>
    <w:p w:rsidR="00067E71" w:rsidRDefault="00067E71" w:rsidP="00067E71">
      <w:pPr>
        <w:pStyle w:val="a0"/>
        <w:spacing w:line="360" w:lineRule="auto"/>
        <w:ind w:firstLine="0"/>
        <w:rPr>
          <w:szCs w:val="24"/>
        </w:rPr>
      </w:pPr>
      <w:r>
        <w:rPr>
          <w:szCs w:val="24"/>
        </w:rPr>
        <w:t>除非在技术规格中另有说明，所有仪器、设备和系统按下列要求进行验收：</w:t>
      </w:r>
    </w:p>
    <w:p w:rsidR="00067E71" w:rsidRDefault="00067E71" w:rsidP="00067E71">
      <w:pPr>
        <w:pStyle w:val="a0"/>
        <w:spacing w:line="360" w:lineRule="auto"/>
        <w:ind w:firstLine="0"/>
        <w:rPr>
          <w:szCs w:val="24"/>
        </w:rPr>
      </w:pPr>
      <w:r>
        <w:rPr>
          <w:rFonts w:hint="eastAsia"/>
          <w:szCs w:val="24"/>
        </w:rPr>
        <w:lastRenderedPageBreak/>
        <w:t>（1）</w:t>
      </w:r>
      <w:r>
        <w:rPr>
          <w:szCs w:val="24"/>
        </w:rPr>
        <w:t>仪器设备运抵安装现场后，采购人将与供货方共同开箱验收，如供货方届时不指派人员参与，则验收结果应以采购人的验收报告为最终验收结果。验收时发现短缺、破损，采购人有权要求供货方负责更换。</w:t>
      </w:r>
    </w:p>
    <w:p w:rsidR="00067E71" w:rsidRDefault="00067E71" w:rsidP="00067E71">
      <w:pPr>
        <w:pStyle w:val="a0"/>
        <w:spacing w:line="360" w:lineRule="auto"/>
        <w:ind w:firstLine="0"/>
        <w:rPr>
          <w:szCs w:val="24"/>
        </w:rPr>
      </w:pPr>
      <w:r>
        <w:rPr>
          <w:rFonts w:hint="eastAsia"/>
          <w:szCs w:val="24"/>
        </w:rPr>
        <w:t>（2）</w:t>
      </w:r>
      <w:r>
        <w:rPr>
          <w:szCs w:val="24"/>
        </w:rPr>
        <w:t>验收标准以中标人的投标文件中所列的指标为准（该指标应不低于招标文件所要求的指标）</w:t>
      </w:r>
      <w:r>
        <w:rPr>
          <w:bCs/>
        </w:rPr>
        <w:t>、国标或行业标准及设备产品说明书</w:t>
      </w:r>
      <w:r>
        <w:rPr>
          <w:szCs w:val="24"/>
        </w:rPr>
        <w:t>。验收时如发现中标人在投标时存在虚假指标响应情况，采购人将取消合同并依法追究中标人的责任，中标人必须承担由此给采购人带来的一切经济损失。</w:t>
      </w:r>
    </w:p>
    <w:p w:rsidR="00067E71" w:rsidRDefault="00067E71" w:rsidP="00067E71">
      <w:pPr>
        <w:spacing w:line="360" w:lineRule="auto"/>
      </w:pPr>
      <w:r>
        <w:rPr>
          <w:rFonts w:hint="eastAsia"/>
        </w:rPr>
        <w:t>（3）</w:t>
      </w:r>
      <w:r>
        <w:t>验收由采购人、中标人及相关人员依国家有关标准、合同及有关附件要求进行，验收完毕由采购人代表及中标人代表在验收报告上签字。</w:t>
      </w:r>
    </w:p>
    <w:p w:rsidR="00B06CE5" w:rsidRPr="00067E71" w:rsidRDefault="00B06CE5">
      <w:bookmarkStart w:id="7" w:name="_GoBack"/>
      <w:bookmarkEnd w:id="7"/>
    </w:p>
    <w:sectPr w:rsidR="00B06CE5" w:rsidRPr="0006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BF" w:rsidRDefault="00F946BF" w:rsidP="00067E71">
      <w:r>
        <w:separator/>
      </w:r>
    </w:p>
  </w:endnote>
  <w:endnote w:type="continuationSeparator" w:id="0">
    <w:p w:rsidR="00F946BF" w:rsidRDefault="00F946BF" w:rsidP="0006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BF" w:rsidRDefault="00F946BF" w:rsidP="00067E71">
      <w:r>
        <w:separator/>
      </w:r>
    </w:p>
  </w:footnote>
  <w:footnote w:type="continuationSeparator" w:id="0">
    <w:p w:rsidR="00F946BF" w:rsidRDefault="00F946BF" w:rsidP="0006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97141"/>
    <w:multiLevelType w:val="singleLevel"/>
    <w:tmpl w:val="83197141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8B75A16E"/>
    <w:multiLevelType w:val="singleLevel"/>
    <w:tmpl w:val="8B75A16E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A8C0E669"/>
    <w:multiLevelType w:val="singleLevel"/>
    <w:tmpl w:val="A8C0E669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A97B702E"/>
    <w:multiLevelType w:val="singleLevel"/>
    <w:tmpl w:val="A97B702E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D8DD8BA7"/>
    <w:multiLevelType w:val="singleLevel"/>
    <w:tmpl w:val="D8DD8BA7"/>
    <w:lvl w:ilvl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C6"/>
    <w:rsid w:val="00067E71"/>
    <w:rsid w:val="009712C6"/>
    <w:rsid w:val="00B06CE5"/>
    <w:rsid w:val="00F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7E71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2"/>
    <w:qFormat/>
    <w:rsid w:val="00067E71"/>
    <w:pPr>
      <w:keepNext/>
      <w:keepLines/>
      <w:autoSpaceDE w:val="0"/>
      <w:autoSpaceDN w:val="0"/>
      <w:adjustRightInd w:val="0"/>
      <w:spacing w:before="360" w:after="120" w:line="360" w:lineRule="auto"/>
      <w:ind w:left="899" w:hanging="899"/>
      <w:jc w:val="center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6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67E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E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67E71"/>
    <w:rPr>
      <w:sz w:val="18"/>
      <w:szCs w:val="18"/>
    </w:rPr>
  </w:style>
  <w:style w:type="character" w:customStyle="1" w:styleId="3Char">
    <w:name w:val="标题 3 Char"/>
    <w:basedOn w:val="a1"/>
    <w:uiPriority w:val="9"/>
    <w:semiHidden/>
    <w:rsid w:val="00067E71"/>
    <w:rPr>
      <w:rFonts w:ascii="宋体" w:eastAsia="宋体" w:hAnsi="宋体" w:cs="宋体"/>
      <w:b/>
      <w:bCs/>
      <w:kern w:val="0"/>
      <w:sz w:val="32"/>
      <w:szCs w:val="32"/>
    </w:rPr>
  </w:style>
  <w:style w:type="paragraph" w:styleId="a0">
    <w:name w:val="Normal Indent"/>
    <w:basedOn w:val="a"/>
    <w:link w:val="Char1"/>
    <w:qFormat/>
    <w:rsid w:val="00067E71"/>
    <w:pPr>
      <w:autoSpaceDE w:val="0"/>
      <w:autoSpaceDN w:val="0"/>
      <w:adjustRightInd w:val="0"/>
      <w:ind w:firstLine="420"/>
    </w:pPr>
    <w:rPr>
      <w:szCs w:val="20"/>
    </w:rPr>
  </w:style>
  <w:style w:type="paragraph" w:styleId="a6">
    <w:name w:val="Body Text Indent"/>
    <w:basedOn w:val="a"/>
    <w:link w:val="Char2"/>
    <w:uiPriority w:val="99"/>
    <w:semiHidden/>
    <w:unhideWhenUsed/>
    <w:rsid w:val="00067E71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6"/>
    <w:uiPriority w:val="99"/>
    <w:semiHidden/>
    <w:rsid w:val="00067E71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6"/>
    <w:next w:val="a"/>
    <w:link w:val="2Char1"/>
    <w:qFormat/>
    <w:rsid w:val="00067E71"/>
    <w:pPr>
      <w:ind w:firstLineChars="200" w:firstLine="420"/>
    </w:pPr>
    <w:rPr>
      <w:sz w:val="21"/>
    </w:rPr>
  </w:style>
  <w:style w:type="character" w:customStyle="1" w:styleId="2Char">
    <w:name w:val="正文首行缩进 2 Char"/>
    <w:basedOn w:val="Char2"/>
    <w:uiPriority w:val="99"/>
    <w:semiHidden/>
    <w:rsid w:val="00067E71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缩进 Char1"/>
    <w:link w:val="a0"/>
    <w:qFormat/>
    <w:rsid w:val="00067E71"/>
    <w:rPr>
      <w:rFonts w:ascii="宋体" w:eastAsia="宋体" w:hAnsi="宋体" w:cs="宋体"/>
      <w:kern w:val="0"/>
      <w:sz w:val="24"/>
      <w:szCs w:val="20"/>
    </w:rPr>
  </w:style>
  <w:style w:type="character" w:customStyle="1" w:styleId="3Char2">
    <w:name w:val="标题 3 Char2"/>
    <w:link w:val="3"/>
    <w:qFormat/>
    <w:rsid w:val="00067E71"/>
    <w:rPr>
      <w:rFonts w:ascii="宋体" w:eastAsia="宋体" w:hAnsi="宋体" w:cs="宋体"/>
      <w:b/>
      <w:bCs/>
      <w:kern w:val="0"/>
      <w:sz w:val="24"/>
      <w:szCs w:val="32"/>
    </w:rPr>
  </w:style>
  <w:style w:type="character" w:customStyle="1" w:styleId="2Char1">
    <w:name w:val="正文首行缩进 2 Char1"/>
    <w:link w:val="2"/>
    <w:qFormat/>
    <w:rsid w:val="00067E71"/>
    <w:rPr>
      <w:rFonts w:ascii="宋体" w:eastAsia="宋体" w:hAnsi="宋体" w:cs="宋体"/>
      <w:kern w:val="0"/>
      <w:szCs w:val="24"/>
    </w:rPr>
  </w:style>
  <w:style w:type="paragraph" w:customStyle="1" w:styleId="ListParagraph1">
    <w:name w:val="List Paragraph1"/>
    <w:basedOn w:val="a"/>
    <w:qFormat/>
    <w:rsid w:val="00067E71"/>
    <w:pPr>
      <w:ind w:firstLineChars="200" w:firstLine="420"/>
    </w:pPr>
    <w:rPr>
      <w:rFonts w:ascii="Calibri" w:hAnsi="Calibri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a"/>
    <w:qFormat/>
    <w:rsid w:val="00067E71"/>
    <w:pPr>
      <w:keepNext/>
      <w:keepLines/>
      <w:spacing w:before="100" w:line="400" w:lineRule="exact"/>
      <w:outlineLvl w:val="1"/>
    </w:pPr>
    <w:rPr>
      <w:rFonts w:ascii="Cambria" w:eastAsia="黑体" w:hAnsi="Cambria"/>
      <w:b/>
      <w:kern w:val="2"/>
      <w:sz w:val="28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7E71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Char2"/>
    <w:qFormat/>
    <w:rsid w:val="00067E71"/>
    <w:pPr>
      <w:keepNext/>
      <w:keepLines/>
      <w:autoSpaceDE w:val="0"/>
      <w:autoSpaceDN w:val="0"/>
      <w:adjustRightInd w:val="0"/>
      <w:spacing w:before="360" w:after="120" w:line="360" w:lineRule="auto"/>
      <w:ind w:left="899" w:hanging="899"/>
      <w:jc w:val="center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6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67E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E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67E71"/>
    <w:rPr>
      <w:sz w:val="18"/>
      <w:szCs w:val="18"/>
    </w:rPr>
  </w:style>
  <w:style w:type="character" w:customStyle="1" w:styleId="3Char">
    <w:name w:val="标题 3 Char"/>
    <w:basedOn w:val="a1"/>
    <w:uiPriority w:val="9"/>
    <w:semiHidden/>
    <w:rsid w:val="00067E71"/>
    <w:rPr>
      <w:rFonts w:ascii="宋体" w:eastAsia="宋体" w:hAnsi="宋体" w:cs="宋体"/>
      <w:b/>
      <w:bCs/>
      <w:kern w:val="0"/>
      <w:sz w:val="32"/>
      <w:szCs w:val="32"/>
    </w:rPr>
  </w:style>
  <w:style w:type="paragraph" w:styleId="a0">
    <w:name w:val="Normal Indent"/>
    <w:basedOn w:val="a"/>
    <w:link w:val="Char1"/>
    <w:qFormat/>
    <w:rsid w:val="00067E71"/>
    <w:pPr>
      <w:autoSpaceDE w:val="0"/>
      <w:autoSpaceDN w:val="0"/>
      <w:adjustRightInd w:val="0"/>
      <w:ind w:firstLine="420"/>
    </w:pPr>
    <w:rPr>
      <w:szCs w:val="20"/>
    </w:rPr>
  </w:style>
  <w:style w:type="paragraph" w:styleId="a6">
    <w:name w:val="Body Text Indent"/>
    <w:basedOn w:val="a"/>
    <w:link w:val="Char2"/>
    <w:uiPriority w:val="99"/>
    <w:semiHidden/>
    <w:unhideWhenUsed/>
    <w:rsid w:val="00067E71"/>
    <w:pPr>
      <w:spacing w:after="120"/>
      <w:ind w:leftChars="200" w:left="420"/>
    </w:pPr>
  </w:style>
  <w:style w:type="character" w:customStyle="1" w:styleId="Char2">
    <w:name w:val="正文文本缩进 Char"/>
    <w:basedOn w:val="a1"/>
    <w:link w:val="a6"/>
    <w:uiPriority w:val="99"/>
    <w:semiHidden/>
    <w:rsid w:val="00067E71"/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6"/>
    <w:next w:val="a"/>
    <w:link w:val="2Char1"/>
    <w:qFormat/>
    <w:rsid w:val="00067E71"/>
    <w:pPr>
      <w:ind w:firstLineChars="200" w:firstLine="420"/>
    </w:pPr>
    <w:rPr>
      <w:sz w:val="21"/>
    </w:rPr>
  </w:style>
  <w:style w:type="character" w:customStyle="1" w:styleId="2Char">
    <w:name w:val="正文首行缩进 2 Char"/>
    <w:basedOn w:val="Char2"/>
    <w:uiPriority w:val="99"/>
    <w:semiHidden/>
    <w:rsid w:val="00067E71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缩进 Char1"/>
    <w:link w:val="a0"/>
    <w:qFormat/>
    <w:rsid w:val="00067E71"/>
    <w:rPr>
      <w:rFonts w:ascii="宋体" w:eastAsia="宋体" w:hAnsi="宋体" w:cs="宋体"/>
      <w:kern w:val="0"/>
      <w:sz w:val="24"/>
      <w:szCs w:val="20"/>
    </w:rPr>
  </w:style>
  <w:style w:type="character" w:customStyle="1" w:styleId="3Char2">
    <w:name w:val="标题 3 Char2"/>
    <w:link w:val="3"/>
    <w:qFormat/>
    <w:rsid w:val="00067E71"/>
    <w:rPr>
      <w:rFonts w:ascii="宋体" w:eastAsia="宋体" w:hAnsi="宋体" w:cs="宋体"/>
      <w:b/>
      <w:bCs/>
      <w:kern w:val="0"/>
      <w:sz w:val="24"/>
      <w:szCs w:val="32"/>
    </w:rPr>
  </w:style>
  <w:style w:type="character" w:customStyle="1" w:styleId="2Char1">
    <w:name w:val="正文首行缩进 2 Char1"/>
    <w:link w:val="2"/>
    <w:qFormat/>
    <w:rsid w:val="00067E71"/>
    <w:rPr>
      <w:rFonts w:ascii="宋体" w:eastAsia="宋体" w:hAnsi="宋体" w:cs="宋体"/>
      <w:kern w:val="0"/>
      <w:szCs w:val="24"/>
    </w:rPr>
  </w:style>
  <w:style w:type="paragraph" w:customStyle="1" w:styleId="ListParagraph1">
    <w:name w:val="List Paragraph1"/>
    <w:basedOn w:val="a"/>
    <w:qFormat/>
    <w:rsid w:val="00067E71"/>
    <w:pPr>
      <w:ind w:firstLineChars="200" w:firstLine="420"/>
    </w:pPr>
    <w:rPr>
      <w:rFonts w:ascii="Calibri" w:hAnsi="Calibri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a"/>
    <w:qFormat/>
    <w:rsid w:val="00067E71"/>
    <w:pPr>
      <w:keepNext/>
      <w:keepLines/>
      <w:spacing w:before="100" w:line="400" w:lineRule="exact"/>
      <w:outlineLvl w:val="1"/>
    </w:pPr>
    <w:rPr>
      <w:rFonts w:ascii="Cambria" w:eastAsia="黑体" w:hAnsi="Cambria"/>
      <w:b/>
      <w:kern w:val="2"/>
      <w:sz w:val="28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915</Words>
  <Characters>5219</Characters>
  <Application>Microsoft Office Word</Application>
  <DocSecurity>0</DocSecurity>
  <Lines>43</Lines>
  <Paragraphs>12</Paragraphs>
  <ScaleCrop>false</ScaleCrop>
  <Company>Organization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2024-04-28T08:21:00Z</dcterms:created>
  <dcterms:modified xsi:type="dcterms:W3CDTF">2024-04-28T08:26:00Z</dcterms:modified>
</cp:coreProperties>
</file>